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173C" w:rsidRDefault="0038173C">
      <w:pPr>
        <w:pStyle w:val="Title"/>
        <w:spacing w:before="0" w:after="0"/>
        <w:jc w:val="center"/>
      </w:pPr>
      <w:bookmarkStart w:id="0" w:name="_GoBack"/>
      <w:bookmarkEnd w:id="0"/>
    </w:p>
    <w:p w:rsidR="0038173C" w:rsidRDefault="0038173C">
      <w:pPr>
        <w:pStyle w:val="Title"/>
        <w:spacing w:before="0" w:after="0"/>
        <w:jc w:val="center"/>
      </w:pPr>
    </w:p>
    <w:p w:rsidR="0038173C" w:rsidRDefault="0038173C">
      <w:pPr>
        <w:pStyle w:val="Title"/>
        <w:spacing w:before="0" w:after="0"/>
        <w:jc w:val="center"/>
      </w:pPr>
    </w:p>
    <w:p w:rsidR="0038173C" w:rsidRDefault="0038173C">
      <w:pPr>
        <w:pStyle w:val="Title"/>
        <w:spacing w:before="0" w:after="0"/>
        <w:jc w:val="center"/>
      </w:pPr>
    </w:p>
    <w:p w:rsidR="0038173C" w:rsidRDefault="0072645C">
      <w:pPr>
        <w:pStyle w:val="Title"/>
        <w:spacing w:before="0" w:after="0"/>
        <w:jc w:val="center"/>
      </w:pPr>
      <w:r>
        <w:rPr>
          <w:rFonts w:ascii="Open Sans" w:eastAsia="Open Sans" w:hAnsi="Open Sans" w:cs="Open Sans"/>
          <w:b/>
          <w:color w:val="F68212"/>
          <w:sz w:val="66"/>
          <w:szCs w:val="66"/>
        </w:rPr>
        <w:t xml:space="preserve">Open Access in the </w:t>
      </w:r>
    </w:p>
    <w:p w:rsidR="0038173C" w:rsidRDefault="0072645C">
      <w:pPr>
        <w:pStyle w:val="Title"/>
        <w:spacing w:before="0" w:after="0"/>
        <w:jc w:val="center"/>
      </w:pPr>
      <w:r>
        <w:rPr>
          <w:rFonts w:ascii="Open Sans" w:eastAsia="Open Sans" w:hAnsi="Open Sans" w:cs="Open Sans"/>
          <w:b/>
          <w:color w:val="F68212"/>
          <w:sz w:val="66"/>
          <w:szCs w:val="66"/>
        </w:rPr>
        <w:t>Social Sciences at Columbia</w:t>
      </w:r>
    </w:p>
    <w:p w:rsidR="0038173C" w:rsidRDefault="0038173C">
      <w:pPr>
        <w:pStyle w:val="Title"/>
        <w:spacing w:before="0" w:after="0"/>
      </w:pPr>
    </w:p>
    <w:p w:rsidR="0038173C" w:rsidRDefault="0038173C">
      <w:pPr>
        <w:spacing w:before="0"/>
        <w:ind w:left="720"/>
      </w:pPr>
    </w:p>
    <w:p w:rsidR="0038173C" w:rsidRDefault="0072645C">
      <w:pPr>
        <w:spacing w:before="0"/>
      </w:pPr>
      <w:r>
        <w:rPr>
          <w:rFonts w:ascii="Open Sans" w:eastAsia="Open Sans" w:hAnsi="Open Sans" w:cs="Open Sans"/>
          <w:b/>
        </w:rPr>
        <w:t>Open Access in the Social Sciences:</w:t>
      </w:r>
      <w:r>
        <w:rPr>
          <w:rFonts w:ascii="Open Sans" w:eastAsia="Open Sans" w:hAnsi="Open Sans" w:cs="Open Sans"/>
          <w:b/>
        </w:rPr>
        <w:br/>
      </w:r>
    </w:p>
    <w:p w:rsidR="0038173C" w:rsidRDefault="0072645C">
      <w:pPr>
        <w:numPr>
          <w:ilvl w:val="0"/>
          <w:numId w:val="2"/>
        </w:numPr>
        <w:spacing w:before="0"/>
        <w:ind w:hanging="3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DOAJ</w:t>
      </w:r>
      <w:r>
        <w:rPr>
          <w:rFonts w:ascii="Open Sans" w:eastAsia="Open Sans" w:hAnsi="Open Sans" w:cs="Open Sans"/>
          <w:sz w:val="22"/>
          <w:szCs w:val="22"/>
        </w:rPr>
        <w:t xml:space="preserve"> (</w:t>
      </w:r>
      <w:hyperlink r:id="rId8">
        <w:r>
          <w:rPr>
            <w:rFonts w:ascii="Open Sans" w:eastAsia="Open Sans" w:hAnsi="Open Sans" w:cs="Open Sans"/>
            <w:i/>
            <w:color w:val="1155CC"/>
            <w:sz w:val="22"/>
            <w:szCs w:val="22"/>
            <w:u w:val="single"/>
          </w:rPr>
          <w:t>www.doaj.org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) </w:t>
      </w:r>
    </w:p>
    <w:p w:rsidR="0038173C" w:rsidRDefault="0072645C">
      <w:pPr>
        <w:spacing w:before="0"/>
        <w:ind w:left="720"/>
      </w:pPr>
      <w:r>
        <w:rPr>
          <w:rFonts w:ascii="Open Sans" w:eastAsia="Open Sans" w:hAnsi="Open Sans" w:cs="Open Sans"/>
          <w:sz w:val="22"/>
          <w:szCs w:val="22"/>
        </w:rPr>
        <w:t xml:space="preserve">The Directory of Open Access Journals allows you to search for all included journals and then narrow by subject </w:t>
      </w:r>
    </w:p>
    <w:p w:rsidR="0038173C" w:rsidRDefault="0072645C">
      <w:pPr>
        <w:numPr>
          <w:ilvl w:val="0"/>
          <w:numId w:val="2"/>
        </w:numPr>
        <w:spacing w:before="0"/>
        <w:ind w:hanging="3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Open ICPSR</w:t>
      </w:r>
      <w:r>
        <w:rPr>
          <w:rFonts w:ascii="Open Sans" w:eastAsia="Open Sans" w:hAnsi="Open Sans" w:cs="Open Sans"/>
          <w:sz w:val="22"/>
          <w:szCs w:val="22"/>
        </w:rPr>
        <w:t xml:space="preserve"> (</w:t>
      </w:r>
      <w:hyperlink r:id="rId9">
        <w:r>
          <w:rPr>
            <w:rFonts w:ascii="Open Sans" w:eastAsia="Open Sans" w:hAnsi="Open Sans" w:cs="Open Sans"/>
            <w:i/>
            <w:color w:val="1155CC"/>
            <w:sz w:val="22"/>
            <w:szCs w:val="22"/>
            <w:u w:val="single"/>
          </w:rPr>
          <w:t>www.openicpsr.org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) </w:t>
      </w:r>
    </w:p>
    <w:p w:rsidR="0038173C" w:rsidRDefault="0072645C">
      <w:pPr>
        <w:spacing w:before="0"/>
        <w:ind w:firstLine="720"/>
      </w:pPr>
      <w:r>
        <w:rPr>
          <w:rFonts w:ascii="Open Sans" w:eastAsia="Open Sans" w:hAnsi="Open Sans" w:cs="Open Sans"/>
          <w:sz w:val="22"/>
          <w:szCs w:val="22"/>
        </w:rPr>
        <w:t xml:space="preserve">Repository of </w:t>
      </w:r>
      <w:r>
        <w:rPr>
          <w:rFonts w:ascii="Open Sans" w:eastAsia="Open Sans" w:hAnsi="Open Sans" w:cs="Open Sans"/>
          <w:color w:val="3D3D3D"/>
          <w:sz w:val="22"/>
          <w:szCs w:val="22"/>
        </w:rPr>
        <w:t>social and behavioral science research data</w:t>
      </w:r>
    </w:p>
    <w:p w:rsidR="0038173C" w:rsidRDefault="0072645C">
      <w:pPr>
        <w:numPr>
          <w:ilvl w:val="0"/>
          <w:numId w:val="2"/>
        </w:numPr>
        <w:spacing w:before="0"/>
        <w:ind w:hanging="360"/>
        <w:rPr>
          <w:rFonts w:ascii="Open Sans" w:eastAsia="Open Sans" w:hAnsi="Open Sans" w:cs="Open Sans"/>
          <w:sz w:val="22"/>
          <w:szCs w:val="22"/>
        </w:rPr>
      </w:pP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Dataverse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(</w:t>
      </w:r>
      <w:hyperlink r:id="rId10">
        <w:r>
          <w:rPr>
            <w:rFonts w:ascii="Open Sans" w:eastAsia="Open Sans" w:hAnsi="Open Sans" w:cs="Open Sans"/>
            <w:i/>
            <w:color w:val="1155CC"/>
            <w:sz w:val="22"/>
            <w:szCs w:val="22"/>
            <w:u w:val="single"/>
          </w:rPr>
          <w:t>dataverse.harvard.edu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) </w:t>
      </w:r>
    </w:p>
    <w:p w:rsidR="0038173C" w:rsidRDefault="0072645C">
      <w:pPr>
        <w:spacing w:before="0"/>
        <w:ind w:firstLine="720"/>
      </w:pPr>
      <w:r>
        <w:rPr>
          <w:rFonts w:ascii="Open Sans" w:eastAsia="Open Sans" w:hAnsi="Open Sans" w:cs="Open Sans"/>
          <w:sz w:val="22"/>
          <w:szCs w:val="22"/>
        </w:rPr>
        <w:t>Repository of research data across all fields</w:t>
      </w:r>
    </w:p>
    <w:p w:rsidR="0038173C" w:rsidRDefault="0072645C">
      <w:pPr>
        <w:numPr>
          <w:ilvl w:val="0"/>
          <w:numId w:val="2"/>
        </w:numPr>
        <w:spacing w:before="0"/>
        <w:ind w:hanging="360"/>
        <w:rPr>
          <w:rFonts w:ascii="Open Sans" w:eastAsia="Open Sans" w:hAnsi="Open Sans" w:cs="Open Sans"/>
          <w:sz w:val="22"/>
          <w:szCs w:val="22"/>
        </w:rPr>
      </w:pP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RePEc</w:t>
      </w:r>
      <w:proofErr w:type="spellEnd"/>
      <w:r>
        <w:rPr>
          <w:rFonts w:ascii="Open Sans" w:eastAsia="Open Sans" w:hAnsi="Open Sans" w:cs="Open Sans"/>
          <w:sz w:val="22"/>
          <w:szCs w:val="22"/>
        </w:rPr>
        <w:t xml:space="preserve"> (</w:t>
      </w:r>
      <w:hyperlink r:id="rId11">
        <w:r>
          <w:rPr>
            <w:rFonts w:ascii="Open Sans" w:eastAsia="Open Sans" w:hAnsi="Open Sans" w:cs="Open Sans"/>
            <w:i/>
            <w:color w:val="1155CC"/>
            <w:sz w:val="22"/>
            <w:szCs w:val="22"/>
            <w:u w:val="single"/>
          </w:rPr>
          <w:t>repec.org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) </w:t>
      </w:r>
    </w:p>
    <w:p w:rsidR="0038173C" w:rsidRDefault="0072645C">
      <w:pPr>
        <w:spacing w:before="0"/>
        <w:ind w:firstLine="720"/>
      </w:pPr>
      <w:r>
        <w:rPr>
          <w:rFonts w:ascii="Open Sans" w:eastAsia="Open Sans" w:hAnsi="Open Sans" w:cs="Open Sans"/>
          <w:sz w:val="22"/>
          <w:szCs w:val="22"/>
        </w:rPr>
        <w:t xml:space="preserve">Volunteer run effort to disseminate and collect data around economics related </w:t>
      </w:r>
      <w:r>
        <w:rPr>
          <w:rFonts w:ascii="Open Sans" w:eastAsia="Open Sans" w:hAnsi="Open Sans" w:cs="Open Sans"/>
          <w:sz w:val="22"/>
          <w:szCs w:val="22"/>
        </w:rPr>
        <w:t>research</w:t>
      </w:r>
    </w:p>
    <w:p w:rsidR="0038173C" w:rsidRDefault="0072645C">
      <w:pPr>
        <w:numPr>
          <w:ilvl w:val="0"/>
          <w:numId w:val="2"/>
        </w:numPr>
        <w:spacing w:before="0"/>
        <w:ind w:hanging="3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Social Science Research Network</w:t>
      </w:r>
      <w:r>
        <w:rPr>
          <w:rFonts w:ascii="Open Sans" w:eastAsia="Open Sans" w:hAnsi="Open Sans" w:cs="Open Sans"/>
          <w:sz w:val="22"/>
          <w:szCs w:val="22"/>
        </w:rPr>
        <w:t xml:space="preserve"> (</w:t>
      </w:r>
      <w:hyperlink r:id="rId12">
        <w:r>
          <w:rPr>
            <w:rFonts w:ascii="Open Sans" w:eastAsia="Open Sans" w:hAnsi="Open Sans" w:cs="Open Sans"/>
            <w:i/>
            <w:color w:val="1155CC"/>
            <w:sz w:val="22"/>
            <w:szCs w:val="22"/>
            <w:u w:val="single"/>
          </w:rPr>
          <w:t>ssrn.com</w:t>
        </w:r>
      </w:hyperlink>
      <w:r>
        <w:rPr>
          <w:rFonts w:ascii="Open Sans" w:eastAsia="Open Sans" w:hAnsi="Open Sans" w:cs="Open Sans"/>
          <w:sz w:val="22"/>
          <w:szCs w:val="22"/>
        </w:rPr>
        <w:t xml:space="preserve">) </w:t>
      </w:r>
    </w:p>
    <w:p w:rsidR="0038173C" w:rsidRDefault="0072645C">
      <w:pPr>
        <w:spacing w:before="0"/>
        <w:ind w:firstLine="720"/>
      </w:pPr>
      <w:r>
        <w:rPr>
          <w:rFonts w:ascii="Open Sans" w:eastAsia="Open Sans" w:hAnsi="Open Sans" w:cs="Open Sans"/>
          <w:sz w:val="22"/>
          <w:szCs w:val="22"/>
          <w:highlight w:val="white"/>
        </w:rPr>
        <w:t xml:space="preserve">Repository dedicated to rapid dissemination of social science research </w:t>
      </w:r>
    </w:p>
    <w:p w:rsidR="0038173C" w:rsidRDefault="0038173C">
      <w:pPr>
        <w:spacing w:before="0"/>
        <w:ind w:left="720"/>
      </w:pPr>
    </w:p>
    <w:p w:rsidR="0038173C" w:rsidRDefault="0072645C">
      <w:pPr>
        <w:pStyle w:val="Heading1"/>
        <w:spacing w:before="0"/>
      </w:pPr>
      <w:bookmarkStart w:id="1" w:name="h.30j0zll" w:colFirst="0" w:colLast="0"/>
      <w:bookmarkEnd w:id="1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Open Access at Columbia University </w:t>
      </w:r>
      <w:r>
        <w:rPr>
          <w:rFonts w:ascii="Open Sans" w:eastAsia="Open Sans" w:hAnsi="Open Sans" w:cs="Open Sans"/>
          <w:color w:val="000000"/>
          <w:sz w:val="24"/>
          <w:szCs w:val="24"/>
        </w:rPr>
        <w:br/>
      </w:r>
    </w:p>
    <w:p w:rsidR="0038173C" w:rsidRDefault="0072645C">
      <w:pPr>
        <w:pStyle w:val="Heading2"/>
        <w:numPr>
          <w:ilvl w:val="0"/>
          <w:numId w:val="1"/>
        </w:numPr>
        <w:spacing w:before="0"/>
        <w:ind w:hanging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Academic Commons </w:t>
      </w:r>
      <w:r>
        <w:rPr>
          <w:rFonts w:ascii="Open Sans" w:eastAsia="Open Sans" w:hAnsi="Open Sans" w:cs="Open Sans"/>
          <w:b w:val="0"/>
          <w:i/>
          <w:color w:val="000000"/>
          <w:sz w:val="22"/>
          <w:szCs w:val="22"/>
        </w:rPr>
        <w:t>(</w:t>
      </w:r>
      <w:hyperlink r:id="rId13">
        <w:r>
          <w:rPr>
            <w:rFonts w:ascii="Open Sans" w:eastAsia="Open Sans" w:hAnsi="Open Sans" w:cs="Open Sans"/>
            <w:b w:val="0"/>
            <w:i/>
            <w:color w:val="1155CC"/>
            <w:sz w:val="22"/>
            <w:szCs w:val="22"/>
            <w:u w:val="single"/>
          </w:rPr>
          <w:t>academiccommons.columbia.edu</w:t>
        </w:r>
      </w:hyperlink>
      <w:r>
        <w:rPr>
          <w:rFonts w:ascii="Open Sans" w:eastAsia="Open Sans" w:hAnsi="Open Sans" w:cs="Open Sans"/>
          <w:b w:val="0"/>
          <w:i/>
          <w:color w:val="000000"/>
          <w:sz w:val="22"/>
          <w:szCs w:val="22"/>
        </w:rPr>
        <w:t>)</w:t>
      </w:r>
    </w:p>
    <w:p w:rsidR="0038173C" w:rsidRDefault="0072645C">
      <w:pPr>
        <w:spacing w:before="0"/>
        <w:ind w:left="720"/>
        <w:jc w:val="both"/>
      </w:pPr>
      <w:r>
        <w:rPr>
          <w:rFonts w:ascii="Open Sans" w:eastAsia="Open Sans" w:hAnsi="Open Sans" w:cs="Open Sans"/>
          <w:sz w:val="22"/>
          <w:szCs w:val="22"/>
        </w:rPr>
        <w:t xml:space="preserve">Academic Commons, Columbia’s research repository, preserves and makes available research </w:t>
      </w:r>
      <w:proofErr w:type="gramStart"/>
      <w:r>
        <w:rPr>
          <w:rFonts w:ascii="Open Sans" w:eastAsia="Open Sans" w:hAnsi="Open Sans" w:cs="Open Sans"/>
          <w:sz w:val="22"/>
          <w:szCs w:val="22"/>
        </w:rPr>
        <w:t>outputs</w:t>
      </w:r>
      <w:proofErr w:type="gramEnd"/>
      <w:r>
        <w:rPr>
          <w:rFonts w:ascii="Open Sans" w:eastAsia="Open Sans" w:hAnsi="Open Sans" w:cs="Open Sans"/>
          <w:sz w:val="22"/>
          <w:szCs w:val="22"/>
        </w:rPr>
        <w:t xml:space="preserve"> in any format, including, but not limited to, journal articles, book chapters, working papers, conference proceedings, and datasets. There are currently over 1</w:t>
      </w:r>
      <w:r>
        <w:rPr>
          <w:rFonts w:ascii="Open Sans" w:eastAsia="Open Sans" w:hAnsi="Open Sans" w:cs="Open Sans"/>
          <w:sz w:val="22"/>
          <w:szCs w:val="22"/>
        </w:rPr>
        <w:t>3,700 items in Academic Commons including 1,600 doctoral dissertations and hundreds of master’s and undergraduate theses.</w:t>
      </w:r>
    </w:p>
    <w:p w:rsidR="0038173C" w:rsidRDefault="0072645C">
      <w:pPr>
        <w:pStyle w:val="Heading2"/>
        <w:numPr>
          <w:ilvl w:val="0"/>
          <w:numId w:val="1"/>
        </w:numPr>
        <w:spacing w:before="0"/>
        <w:ind w:hanging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Open Access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Policies</w:t>
      </w:r>
      <w:r>
        <w:rPr>
          <w:rFonts w:ascii="Open Sans" w:eastAsia="Open Sans" w:hAnsi="Open Sans" w:cs="Open Sans"/>
          <w:b w:val="0"/>
          <w:color w:val="000000"/>
          <w:sz w:val="22"/>
          <w:szCs w:val="22"/>
        </w:rPr>
        <w:t xml:space="preserve">  (</w:t>
      </w:r>
      <w:proofErr w:type="gramEnd"/>
      <w:hyperlink r:id="rId14">
        <w:r>
          <w:rPr>
            <w:rFonts w:ascii="Open Sans" w:eastAsia="Open Sans" w:hAnsi="Open Sans" w:cs="Open Sans"/>
            <w:b w:val="0"/>
            <w:i/>
            <w:color w:val="1155CC"/>
            <w:sz w:val="22"/>
            <w:szCs w:val="22"/>
            <w:u w:val="single"/>
          </w:rPr>
          <w:t>scholcomm.columbia.edu/open-access/open-access-po</w:t>
        </w:r>
        <w:r>
          <w:rPr>
            <w:rFonts w:ascii="Open Sans" w:eastAsia="Open Sans" w:hAnsi="Open Sans" w:cs="Open Sans"/>
            <w:b w:val="0"/>
            <w:i/>
            <w:color w:val="1155CC"/>
            <w:sz w:val="22"/>
            <w:szCs w:val="22"/>
            <w:u w:val="single"/>
          </w:rPr>
          <w:t>licies/</w:t>
        </w:r>
      </w:hyperlink>
      <w:r>
        <w:rPr>
          <w:rFonts w:ascii="Open Sans" w:eastAsia="Open Sans" w:hAnsi="Open Sans" w:cs="Open Sans"/>
          <w:b w:val="0"/>
          <w:i/>
          <w:color w:val="000000"/>
          <w:sz w:val="22"/>
          <w:szCs w:val="22"/>
        </w:rPr>
        <w:t>)</w:t>
      </w:r>
    </w:p>
    <w:p w:rsidR="0038173C" w:rsidRDefault="0072645C">
      <w:pPr>
        <w:spacing w:before="0"/>
        <w:ind w:left="720"/>
      </w:pPr>
      <w:r>
        <w:rPr>
          <w:rFonts w:ascii="Open Sans" w:eastAsia="Open Sans" w:hAnsi="Open Sans" w:cs="Open Sans"/>
          <w:sz w:val="22"/>
          <w:szCs w:val="22"/>
        </w:rPr>
        <w:t>Lamont-Doherty Earth Observatory, Columbia University Libraries/Information Services, the Mailman School of Public Health, and the School of Social Work have adopted open access policies. They call for faculty members and officers of administration to make</w:t>
      </w:r>
      <w:r>
        <w:rPr>
          <w:rFonts w:ascii="Open Sans" w:eastAsia="Open Sans" w:hAnsi="Open Sans" w:cs="Open Sans"/>
          <w:sz w:val="22"/>
          <w:szCs w:val="22"/>
        </w:rPr>
        <w:t xml:space="preserve"> their research articles freely available to the public through online repositories, such as Academic Commons.</w:t>
      </w:r>
    </w:p>
    <w:p w:rsidR="0038173C" w:rsidRDefault="0072645C">
      <w:pPr>
        <w:pStyle w:val="Heading2"/>
        <w:numPr>
          <w:ilvl w:val="0"/>
          <w:numId w:val="1"/>
        </w:numPr>
        <w:spacing w:before="0"/>
        <w:ind w:hanging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 xml:space="preserve">COAP Fund </w:t>
      </w:r>
      <w:r>
        <w:rPr>
          <w:rFonts w:ascii="Open Sans" w:eastAsia="Open Sans" w:hAnsi="Open Sans" w:cs="Open Sans"/>
          <w:b w:val="0"/>
          <w:i/>
          <w:color w:val="000000"/>
          <w:sz w:val="22"/>
          <w:szCs w:val="22"/>
        </w:rPr>
        <w:t>(</w:t>
      </w:r>
      <w:hyperlink r:id="rId15">
        <w:r>
          <w:rPr>
            <w:rFonts w:ascii="Open Sans" w:eastAsia="Open Sans" w:hAnsi="Open Sans" w:cs="Open Sans"/>
            <w:b w:val="0"/>
            <w:i/>
            <w:color w:val="1155CC"/>
            <w:sz w:val="22"/>
            <w:szCs w:val="22"/>
            <w:u w:val="single"/>
          </w:rPr>
          <w:t>scholcom</w:t>
        </w:r>
        <w:r>
          <w:rPr>
            <w:rFonts w:ascii="Open Sans" w:eastAsia="Open Sans" w:hAnsi="Open Sans" w:cs="Open Sans"/>
            <w:b w:val="0"/>
            <w:i/>
            <w:color w:val="1155CC"/>
            <w:sz w:val="22"/>
            <w:szCs w:val="22"/>
            <w:u w:val="single"/>
          </w:rPr>
          <w:t>m.columbia.edu/services/</w:t>
        </w:r>
        <w:proofErr w:type="spellStart"/>
        <w:r>
          <w:rPr>
            <w:rFonts w:ascii="Open Sans" w:eastAsia="Open Sans" w:hAnsi="Open Sans" w:cs="Open Sans"/>
            <w:b w:val="0"/>
            <w:i/>
            <w:color w:val="1155CC"/>
            <w:sz w:val="22"/>
            <w:szCs w:val="22"/>
            <w:u w:val="single"/>
          </w:rPr>
          <w:t>coap</w:t>
        </w:r>
        <w:proofErr w:type="spellEnd"/>
        <w:r>
          <w:rPr>
            <w:rFonts w:ascii="Open Sans" w:eastAsia="Open Sans" w:hAnsi="Open Sans" w:cs="Open Sans"/>
            <w:b w:val="0"/>
            <w:i/>
            <w:color w:val="1155CC"/>
            <w:sz w:val="22"/>
            <w:szCs w:val="22"/>
            <w:u w:val="single"/>
          </w:rPr>
          <w:t>-fund/</w:t>
        </w:r>
      </w:hyperlink>
      <w:r>
        <w:rPr>
          <w:rFonts w:ascii="Open Sans" w:eastAsia="Open Sans" w:hAnsi="Open Sans" w:cs="Open Sans"/>
          <w:b w:val="0"/>
          <w:i/>
          <w:color w:val="000000"/>
          <w:sz w:val="22"/>
          <w:szCs w:val="22"/>
        </w:rPr>
        <w:t>)</w:t>
      </w:r>
    </w:p>
    <w:p w:rsidR="0038173C" w:rsidRDefault="0072645C">
      <w:pPr>
        <w:pStyle w:val="Heading2"/>
        <w:spacing w:before="0"/>
        <w:ind w:left="720"/>
      </w:pPr>
      <w:r>
        <w:rPr>
          <w:rFonts w:ascii="Open Sans" w:eastAsia="Open Sans" w:hAnsi="Open Sans" w:cs="Open Sans"/>
          <w:b w:val="0"/>
          <w:color w:val="000000"/>
          <w:sz w:val="22"/>
          <w:szCs w:val="22"/>
        </w:rPr>
        <w:t>The Columbia Open-Access Publication (COAP) Fund will underwrite reasonable article-processing fees for open-access journals when funds are not otherwise available.</w:t>
      </w:r>
    </w:p>
    <w:p w:rsidR="0038173C" w:rsidRDefault="0072645C">
      <w:pPr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276225</wp:posOffset>
                </wp:positionV>
                <wp:extent cx="6629400" cy="1348674"/>
                <wp:effectExtent l="0" t="0" r="0" b="0"/>
                <wp:wrapSquare wrapText="bothSides" distT="0" distB="0" distL="114300" distR="1143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348674"/>
                          <a:chOff x="2031300" y="3115473"/>
                          <a:chExt cx="6629400" cy="1329055"/>
                        </a:xfrm>
                      </wpg:grpSpPr>
                      <wps:wsp>
                        <wps:cNvPr id="1" name="Double Brace 1"/>
                        <wps:cNvSpPr/>
                        <wps:spPr>
                          <a:xfrm>
                            <a:off x="2031300" y="3115473"/>
                            <a:ext cx="6629400" cy="1329055"/>
                          </a:xfrm>
                          <a:prstGeom prst="bracePair">
                            <a:avLst/>
                          </a:prstGeom>
                          <a:noFill/>
                          <a:ln w="9525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8173C" w:rsidRDefault="0072645C">
                              <w:pPr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32"/>
                                </w:rPr>
                                <w:t>Share your research in Academic Commons!</w:t>
                              </w:r>
                            </w:p>
                            <w:p w:rsidR="0038173C" w:rsidRDefault="0072645C">
                              <w:pPr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Follow this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link to share your research: </w:t>
                              </w:r>
                            </w:p>
                            <w:p w:rsidR="0038173C" w:rsidRDefault="0072645C">
                              <w:pPr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2"/>
                                </w:rPr>
                                <w:t>academiccommons.columbia.edu/deposit</w:t>
                              </w:r>
                            </w:p>
                            <w:p w:rsidR="0038173C" w:rsidRDefault="0038173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lIns="91425" tIns="45700" rIns="91425" bIns="45700" anchor="t" anchorCtr="0"/>
                      </wps:wsp>
                      <pic:pic xmlns:pic="http://schemas.openxmlformats.org/drawingml/2006/picture">
                        <pic:nvPicPr>
                          <pic:cNvPr id="3" name="Shape 2"/>
                          <pic:cNvPicPr preferRelativeResize="0"/>
                        </pic:nvPicPr>
                        <pic:blipFill/>
                        <pic:spPr>
                          <a:xfrm>
                            <a:off x="7128925" y="3179925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276225</wp:posOffset>
                </wp:positionV>
                <wp:extent cx="6629400" cy="1348674"/>
                <wp:effectExtent b="0" l="0" r="0" t="0"/>
                <wp:wrapSquare wrapText="bothSides" distB="0" distT="0" distL="114300" distR="11430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3486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8173C">
      <w:headerReference w:type="first" r:id="rId1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5C" w:rsidRDefault="0072645C">
      <w:pPr>
        <w:spacing w:before="0"/>
      </w:pPr>
      <w:r>
        <w:separator/>
      </w:r>
    </w:p>
  </w:endnote>
  <w:endnote w:type="continuationSeparator" w:id="0">
    <w:p w:rsidR="0072645C" w:rsidRDefault="007264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5C" w:rsidRDefault="0072645C">
      <w:pPr>
        <w:spacing w:before="0"/>
      </w:pPr>
      <w:r>
        <w:separator/>
      </w:r>
    </w:p>
  </w:footnote>
  <w:footnote w:type="continuationSeparator" w:id="0">
    <w:p w:rsidR="0072645C" w:rsidRDefault="007264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3C" w:rsidRDefault="0072645C"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2981325</wp:posOffset>
          </wp:positionH>
          <wp:positionV relativeFrom="paragraph">
            <wp:posOffset>390525</wp:posOffset>
          </wp:positionV>
          <wp:extent cx="670350" cy="1052513"/>
          <wp:effectExtent l="0" t="0" r="0" b="0"/>
          <wp:wrapSquare wrapText="bothSides" distT="0" distB="0" distL="114300" distR="114300"/>
          <wp:docPr id="1" name="image01.png" descr="oa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oa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350" cy="1052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2592"/>
    <w:multiLevelType w:val="multilevel"/>
    <w:tmpl w:val="3438D62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71674173"/>
    <w:multiLevelType w:val="multilevel"/>
    <w:tmpl w:val="14FC7C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173C"/>
    <w:rsid w:val="0038173C"/>
    <w:rsid w:val="0072645C"/>
    <w:rsid w:val="00F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85C8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rFonts w:ascii="Calibri" w:eastAsia="Calibri" w:hAnsi="Calibri" w:cs="Calibri"/>
      <w:color w:val="17375E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85C8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rFonts w:ascii="Calibri" w:eastAsia="Calibri" w:hAnsi="Calibri" w:cs="Calibri"/>
      <w:color w:val="17375E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j.org" TargetMode="External"/><Relationship Id="rId13" Type="http://schemas.openxmlformats.org/officeDocument/2006/relationships/hyperlink" Target="http://academiccommons.columbia.ed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rn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0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pe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comm.columbia.edu/services/coap-fund/coap-fund-instructions-for-application-and-reimbursement/" TargetMode="External"/><Relationship Id="rId10" Type="http://schemas.openxmlformats.org/officeDocument/2006/relationships/hyperlink" Target="https://dataverse.harvard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penicpsr.org" TargetMode="External"/><Relationship Id="rId14" Type="http://schemas.openxmlformats.org/officeDocument/2006/relationships/hyperlink" Target="http://scholcomm.columbia.edu/open-acce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LITO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Gregory Beilin</dc:creator>
  <cp:lastModifiedBy>Ian Gregory Beilin</cp:lastModifiedBy>
  <cp:revision>2</cp:revision>
  <cp:lastPrinted>2015-10-20T14:38:00Z</cp:lastPrinted>
  <dcterms:created xsi:type="dcterms:W3CDTF">2015-10-20T14:38:00Z</dcterms:created>
  <dcterms:modified xsi:type="dcterms:W3CDTF">2015-10-20T14:38:00Z</dcterms:modified>
</cp:coreProperties>
</file>